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43339" w14:textId="77777777" w:rsidR="0037010A" w:rsidRDefault="0037010A" w:rsidP="0037010A">
      <w:pPr>
        <w:jc w:val="center"/>
        <w:rPr>
          <w:b/>
          <w:bCs/>
          <w:sz w:val="28"/>
          <w:szCs w:val="28"/>
        </w:rPr>
      </w:pPr>
      <w:r w:rsidRPr="00407A7C">
        <w:rPr>
          <w:b/>
          <w:bCs/>
          <w:sz w:val="28"/>
          <w:szCs w:val="28"/>
        </w:rPr>
        <w:t>НИКУЛЯТСКАЯ СЕ</w:t>
      </w:r>
      <w:r>
        <w:rPr>
          <w:b/>
          <w:bCs/>
          <w:sz w:val="28"/>
          <w:szCs w:val="28"/>
        </w:rPr>
        <w:t>ЛЬСКАЯ ДУМА</w:t>
      </w:r>
    </w:p>
    <w:p w14:paraId="037DE3E8" w14:textId="77777777" w:rsidR="0037010A" w:rsidRDefault="0037010A" w:rsidP="00370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ЯРАНСКОГО РАЙОНА КИРОВСКОЙ ОБЛАСТИ</w:t>
      </w:r>
    </w:p>
    <w:p w14:paraId="0F9CF8BA" w14:textId="77777777" w:rsidR="0037010A" w:rsidRPr="00407A7C" w:rsidRDefault="0037010A" w:rsidP="003701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четвертого созыва</w:t>
      </w:r>
    </w:p>
    <w:p w14:paraId="13FEA8F3" w14:textId="77777777" w:rsidR="0037010A" w:rsidRPr="00D16ADB" w:rsidRDefault="0037010A" w:rsidP="0037010A">
      <w:pPr>
        <w:rPr>
          <w:b/>
          <w:bCs/>
        </w:rPr>
      </w:pPr>
    </w:p>
    <w:p w14:paraId="2BA440A7" w14:textId="77777777" w:rsidR="0037010A" w:rsidRPr="00D16ADB" w:rsidRDefault="0037010A" w:rsidP="0037010A">
      <w:pPr>
        <w:jc w:val="center"/>
        <w:rPr>
          <w:b/>
          <w:bCs/>
        </w:rPr>
      </w:pPr>
    </w:p>
    <w:p w14:paraId="5751205B" w14:textId="77777777" w:rsidR="0037010A" w:rsidRPr="00463EDF" w:rsidRDefault="0037010A" w:rsidP="0037010A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  <w:r w:rsidRPr="00463EDF">
        <w:rPr>
          <w:b/>
          <w:bCs/>
          <w:sz w:val="28"/>
          <w:szCs w:val="28"/>
        </w:rPr>
        <w:t>РЕШЕНИЕ</w:t>
      </w:r>
    </w:p>
    <w:p w14:paraId="5E532D28" w14:textId="77777777" w:rsidR="0037010A" w:rsidRPr="00463EDF" w:rsidRDefault="0037010A" w:rsidP="0037010A">
      <w:pPr>
        <w:jc w:val="center"/>
        <w:rPr>
          <w:b/>
          <w:bCs/>
          <w:sz w:val="28"/>
          <w:szCs w:val="28"/>
        </w:rPr>
      </w:pPr>
    </w:p>
    <w:p w14:paraId="37F8392A" w14:textId="4AB05D70" w:rsidR="0037010A" w:rsidRDefault="0037010A" w:rsidP="0037010A">
      <w:pPr>
        <w:rPr>
          <w:sz w:val="28"/>
          <w:szCs w:val="28"/>
        </w:rPr>
      </w:pPr>
      <w:r w:rsidRPr="00B33683">
        <w:rPr>
          <w:bCs/>
          <w:sz w:val="28"/>
          <w:szCs w:val="28"/>
        </w:rPr>
        <w:t xml:space="preserve"> </w:t>
      </w:r>
      <w:r w:rsidR="00B33683" w:rsidRPr="00B33683">
        <w:rPr>
          <w:bCs/>
          <w:sz w:val="28"/>
          <w:szCs w:val="28"/>
        </w:rPr>
        <w:t>от</w:t>
      </w:r>
      <w:r w:rsidR="00B33683">
        <w:rPr>
          <w:b/>
          <w:bCs/>
          <w:sz w:val="28"/>
          <w:szCs w:val="28"/>
        </w:rPr>
        <w:t xml:space="preserve"> </w:t>
      </w:r>
      <w:r w:rsidR="00B33683">
        <w:rPr>
          <w:sz w:val="28"/>
          <w:szCs w:val="28"/>
        </w:rPr>
        <w:t xml:space="preserve">29.10.2021 </w:t>
      </w:r>
      <w:r w:rsidRPr="00463EDF">
        <w:rPr>
          <w:sz w:val="28"/>
          <w:szCs w:val="28"/>
        </w:rPr>
        <w:tab/>
        <w:t xml:space="preserve">                                                 </w:t>
      </w:r>
      <w:r w:rsidR="00B33683">
        <w:rPr>
          <w:sz w:val="28"/>
          <w:szCs w:val="28"/>
        </w:rPr>
        <w:t xml:space="preserve">                                           № 222</w:t>
      </w:r>
    </w:p>
    <w:p w14:paraId="48B5CDBC" w14:textId="77777777" w:rsidR="0037010A" w:rsidRPr="00463EDF" w:rsidRDefault="0037010A" w:rsidP="0037010A">
      <w:pPr>
        <w:rPr>
          <w:b/>
          <w:bCs/>
          <w:sz w:val="28"/>
          <w:szCs w:val="28"/>
        </w:rPr>
      </w:pPr>
    </w:p>
    <w:p w14:paraId="03DA48DD" w14:textId="3A8C2E7D" w:rsidR="00D03C14" w:rsidRPr="0037010A" w:rsidRDefault="0037010A" w:rsidP="0037010A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Никулята</w:t>
      </w:r>
    </w:p>
    <w:p w14:paraId="3623C749" w14:textId="4D3BD89E" w:rsidR="00D03C14" w:rsidRPr="00700821" w:rsidRDefault="00D03C14" w:rsidP="0037010A">
      <w:pPr>
        <w:shd w:val="clear" w:color="auto" w:fill="FFFFFF"/>
        <w:rPr>
          <w:color w:val="000000"/>
          <w:sz w:val="28"/>
          <w:szCs w:val="28"/>
        </w:rPr>
      </w:pPr>
    </w:p>
    <w:p w14:paraId="15A0F9F0" w14:textId="0A69765A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>Об утверждении Положения о муниципальном контроле в сфере благоустройства на территории</w:t>
      </w:r>
      <w:r w:rsidR="0037010A">
        <w:rPr>
          <w:b/>
          <w:bCs/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области</w:t>
      </w:r>
      <w:r w:rsidRPr="00700821">
        <w:rPr>
          <w:b/>
          <w:bCs/>
          <w:color w:val="000000"/>
          <w:sz w:val="28"/>
          <w:szCs w:val="28"/>
        </w:rPr>
        <w:t xml:space="preserve"> 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510BDA20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20521231" w:rsidR="00D03C14" w:rsidRDefault="00D03C14" w:rsidP="0037010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37010A">
        <w:rPr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области, </w:t>
      </w:r>
      <w:proofErr w:type="spellStart"/>
      <w:r w:rsidR="0037010A">
        <w:rPr>
          <w:color w:val="000000"/>
          <w:sz w:val="28"/>
          <w:szCs w:val="28"/>
        </w:rPr>
        <w:t>Никулятская</w:t>
      </w:r>
      <w:proofErr w:type="spellEnd"/>
      <w:r w:rsidR="0037010A">
        <w:rPr>
          <w:color w:val="000000"/>
          <w:sz w:val="28"/>
          <w:szCs w:val="28"/>
        </w:rPr>
        <w:t xml:space="preserve"> сельская Дума Яранского района Кировской области РЕШИЛА:</w:t>
      </w:r>
    </w:p>
    <w:p w14:paraId="0790AD42" w14:textId="77777777" w:rsidR="0037010A" w:rsidRPr="00700821" w:rsidRDefault="0037010A" w:rsidP="0037010A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B0A25B4" w14:textId="254B1298" w:rsidR="00D03C14" w:rsidRPr="00700821" w:rsidRDefault="00D03C14" w:rsidP="00D03C14">
      <w:pPr>
        <w:shd w:val="clear" w:color="auto" w:fill="FFFFFF"/>
        <w:ind w:firstLine="709"/>
        <w:jc w:val="both"/>
      </w:pPr>
      <w:r w:rsidRPr="00700821"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</w:t>
      </w:r>
      <w:r w:rsidR="00D679B1">
        <w:rPr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области</w:t>
      </w:r>
      <w:r w:rsidRPr="00700821">
        <w:rPr>
          <w:color w:val="000000"/>
        </w:rPr>
        <w:t>.</w:t>
      </w:r>
    </w:p>
    <w:p w14:paraId="6F551818" w14:textId="5F00F518" w:rsidR="00D03C14" w:rsidRPr="008629D3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color w:val="000000"/>
          <w:sz w:val="28"/>
          <w:szCs w:val="28"/>
        </w:rPr>
        <w:t xml:space="preserve">, </w:t>
      </w:r>
      <w:r w:rsidRPr="008629D3">
        <w:rPr>
          <w:color w:val="000000"/>
          <w:sz w:val="28"/>
          <w:szCs w:val="28"/>
        </w:rPr>
        <w:t>за исключением положений раздела 5 Положения о муниципальном контроле в сфере благоустройства на территории</w:t>
      </w:r>
      <w:r w:rsidR="00A728AB">
        <w:rPr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области</w:t>
      </w:r>
      <w:r w:rsidRPr="008629D3">
        <w:rPr>
          <w:color w:val="000000"/>
          <w:sz w:val="28"/>
          <w:szCs w:val="28"/>
        </w:rPr>
        <w:t xml:space="preserve">. </w:t>
      </w:r>
    </w:p>
    <w:p w14:paraId="2E8A4948" w14:textId="1D817784" w:rsidR="00D03C14" w:rsidRDefault="00D03C14" w:rsidP="008629D3">
      <w:pPr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A728AB">
        <w:rPr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</w:t>
      </w:r>
      <w:proofErr w:type="gramStart"/>
      <w:r w:rsidR="00A728AB">
        <w:rPr>
          <w:color w:val="000000"/>
          <w:sz w:val="28"/>
          <w:szCs w:val="28"/>
        </w:rPr>
        <w:t xml:space="preserve">области </w:t>
      </w:r>
      <w:r w:rsidRPr="008629D3">
        <w:rPr>
          <w:i/>
          <w:iCs/>
          <w:color w:val="000000"/>
        </w:rPr>
        <w:t xml:space="preserve"> </w:t>
      </w:r>
      <w:r w:rsidRPr="008629D3">
        <w:rPr>
          <w:color w:val="000000"/>
          <w:sz w:val="28"/>
          <w:szCs w:val="28"/>
        </w:rPr>
        <w:t>вступают</w:t>
      </w:r>
      <w:proofErr w:type="gramEnd"/>
      <w:r w:rsidRPr="008629D3">
        <w:rPr>
          <w:color w:val="000000"/>
          <w:sz w:val="28"/>
          <w:szCs w:val="28"/>
        </w:rPr>
        <w:t xml:space="preserve">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33CABBAD" w14:textId="59EC8AE0" w:rsidR="00A728AB" w:rsidRDefault="00A728AB" w:rsidP="008629D3">
      <w:pPr>
        <w:ind w:firstLine="709"/>
        <w:jc w:val="both"/>
        <w:rPr>
          <w:color w:val="000000"/>
          <w:sz w:val="28"/>
          <w:szCs w:val="28"/>
        </w:rPr>
      </w:pPr>
    </w:p>
    <w:p w14:paraId="04DF91D1" w14:textId="5F54C993" w:rsidR="0037010A" w:rsidRDefault="0037010A" w:rsidP="008629D3">
      <w:pPr>
        <w:ind w:firstLine="709"/>
        <w:jc w:val="both"/>
        <w:rPr>
          <w:sz w:val="28"/>
          <w:szCs w:val="28"/>
        </w:rPr>
      </w:pPr>
    </w:p>
    <w:p w14:paraId="52C5EAE3" w14:textId="445181CC" w:rsidR="00A728AB" w:rsidRDefault="00A728AB" w:rsidP="008629D3">
      <w:pPr>
        <w:ind w:firstLine="709"/>
        <w:jc w:val="both"/>
        <w:rPr>
          <w:sz w:val="28"/>
          <w:szCs w:val="28"/>
        </w:rPr>
      </w:pPr>
    </w:p>
    <w:p w14:paraId="05ED53D1" w14:textId="77777777" w:rsidR="00A728AB" w:rsidRPr="00700821" w:rsidRDefault="00A728AB" w:rsidP="008629D3">
      <w:pPr>
        <w:ind w:firstLine="709"/>
        <w:jc w:val="both"/>
        <w:rPr>
          <w:sz w:val="28"/>
          <w:szCs w:val="28"/>
        </w:rPr>
      </w:pPr>
    </w:p>
    <w:p w14:paraId="336C6DAC" w14:textId="77777777" w:rsidR="0037010A" w:rsidRPr="009E23F0" w:rsidRDefault="0037010A" w:rsidP="0037010A">
      <w:pPr>
        <w:tabs>
          <w:tab w:val="left" w:pos="66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Никулятской</w:t>
      </w:r>
      <w:proofErr w:type="gramEnd"/>
      <w:r>
        <w:rPr>
          <w:sz w:val="28"/>
          <w:szCs w:val="28"/>
        </w:rPr>
        <w:t xml:space="preserve">                                          </w:t>
      </w:r>
      <w:r w:rsidRPr="009E23F0">
        <w:rPr>
          <w:sz w:val="28"/>
          <w:szCs w:val="28"/>
        </w:rPr>
        <w:t xml:space="preserve">Глава Никулятского сельской Думы                                     </w:t>
      </w:r>
      <w:r>
        <w:rPr>
          <w:sz w:val="28"/>
          <w:szCs w:val="28"/>
        </w:rPr>
        <w:t xml:space="preserve">                           </w:t>
      </w:r>
      <w:r w:rsidRPr="009E23F0">
        <w:rPr>
          <w:sz w:val="28"/>
          <w:szCs w:val="28"/>
        </w:rPr>
        <w:t xml:space="preserve">сельского поселения      </w:t>
      </w:r>
    </w:p>
    <w:p w14:paraId="61B825EA" w14:textId="77777777" w:rsidR="0037010A" w:rsidRPr="009637A9" w:rsidRDefault="0037010A" w:rsidP="0037010A">
      <w:pPr>
        <w:rPr>
          <w:sz w:val="28"/>
          <w:szCs w:val="28"/>
        </w:rPr>
      </w:pPr>
      <w:r w:rsidRPr="009E23F0">
        <w:rPr>
          <w:sz w:val="28"/>
          <w:szCs w:val="28"/>
        </w:rPr>
        <w:t xml:space="preserve">                     Л.В. Гребнева                                          </w:t>
      </w:r>
      <w:r>
        <w:rPr>
          <w:sz w:val="28"/>
          <w:szCs w:val="28"/>
        </w:rPr>
        <w:t xml:space="preserve">              Л.Н. </w:t>
      </w:r>
      <w:proofErr w:type="spellStart"/>
      <w:r>
        <w:rPr>
          <w:sz w:val="28"/>
          <w:szCs w:val="28"/>
        </w:rPr>
        <w:t>Царегородцева</w:t>
      </w:r>
      <w:proofErr w:type="spellEnd"/>
    </w:p>
    <w:p w14:paraId="70937851" w14:textId="77777777" w:rsidR="0037010A" w:rsidRPr="00463EDF" w:rsidRDefault="0037010A" w:rsidP="0037010A">
      <w:pPr>
        <w:spacing w:line="240" w:lineRule="exact"/>
        <w:ind w:left="5398"/>
        <w:jc w:val="center"/>
        <w:rPr>
          <w:b/>
          <w:color w:val="000000"/>
        </w:rPr>
      </w:pPr>
    </w:p>
    <w:p w14:paraId="0A2A0CAD" w14:textId="77777777" w:rsidR="00D03C14" w:rsidRPr="00700821" w:rsidRDefault="00D03C14" w:rsidP="00D03C1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6A07FE9" w14:textId="30BDD161" w:rsidR="00A728AB" w:rsidRDefault="00A728AB" w:rsidP="00D03C14">
      <w:pPr>
        <w:tabs>
          <w:tab w:val="num" w:pos="200"/>
        </w:tabs>
        <w:ind w:left="4536"/>
        <w:jc w:val="center"/>
        <w:outlineLvl w:val="0"/>
        <w:rPr>
          <w:b/>
          <w:color w:val="000000"/>
        </w:rPr>
      </w:pPr>
    </w:p>
    <w:p w14:paraId="4EBB0C4F" w14:textId="1E9F76E2" w:rsidR="00D03C14" w:rsidRPr="00700821" w:rsidRDefault="00D03C14" w:rsidP="00D03C14">
      <w:pPr>
        <w:tabs>
          <w:tab w:val="num" w:pos="200"/>
        </w:tabs>
        <w:ind w:left="4536"/>
        <w:jc w:val="center"/>
        <w:outlineLvl w:val="0"/>
      </w:pPr>
      <w:r w:rsidRPr="00700821">
        <w:lastRenderedPageBreak/>
        <w:t>УТВЕРЖДЕНО</w:t>
      </w:r>
    </w:p>
    <w:p w14:paraId="78D402A5" w14:textId="0B327041" w:rsidR="00D03C14" w:rsidRDefault="00A728AB" w:rsidP="00D03C14">
      <w:pPr>
        <w:ind w:left="4536"/>
        <w:jc w:val="center"/>
        <w:rPr>
          <w:b/>
          <w:bCs/>
          <w:color w:val="000000"/>
          <w:sz w:val="28"/>
          <w:szCs w:val="28"/>
        </w:rPr>
      </w:pPr>
      <w:r w:rsidRPr="00700821">
        <w:rPr>
          <w:color w:val="000000"/>
        </w:rPr>
        <w:t>Р</w:t>
      </w:r>
      <w:r w:rsidR="00D03C14" w:rsidRPr="00700821">
        <w:rPr>
          <w:color w:val="000000"/>
        </w:rPr>
        <w:t>ешением</w:t>
      </w:r>
      <w:r>
        <w:rPr>
          <w:color w:val="000000"/>
        </w:rPr>
        <w:t xml:space="preserve"> Никулятской сельской Думы</w:t>
      </w:r>
      <w:r w:rsidR="00D03C14" w:rsidRPr="00700821">
        <w:rPr>
          <w:color w:val="000000"/>
        </w:rPr>
        <w:t xml:space="preserve"> </w:t>
      </w:r>
    </w:p>
    <w:p w14:paraId="29091600" w14:textId="41A05D2C" w:rsidR="00A728AB" w:rsidRPr="00A728AB" w:rsidRDefault="00A728AB" w:rsidP="00D03C14">
      <w:pPr>
        <w:ind w:left="4536"/>
        <w:jc w:val="center"/>
        <w:rPr>
          <w:i/>
          <w:iCs/>
          <w:color w:val="000000"/>
        </w:rPr>
      </w:pPr>
      <w:r w:rsidRPr="00A728AB">
        <w:rPr>
          <w:bCs/>
          <w:color w:val="000000"/>
        </w:rPr>
        <w:t>Яранского района Кировской области</w:t>
      </w:r>
    </w:p>
    <w:p w14:paraId="78766CDF" w14:textId="281A6CA1" w:rsidR="00D03C14" w:rsidRPr="00700821" w:rsidRDefault="00B33683" w:rsidP="00D03C14">
      <w:pPr>
        <w:ind w:left="4536"/>
        <w:jc w:val="center"/>
      </w:pPr>
      <w:r>
        <w:t>от 29.10.</w:t>
      </w:r>
      <w:bookmarkStart w:id="0" w:name="_GoBack"/>
      <w:bookmarkEnd w:id="0"/>
      <w:r>
        <w:t>2021 № 222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4E5EB861" w14:textId="3863BD46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D679B1">
        <w:rPr>
          <w:b/>
          <w:bCs/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области</w:t>
      </w:r>
      <w:r w:rsidR="00D679B1">
        <w:rPr>
          <w:color w:val="000000"/>
          <w:sz w:val="28"/>
          <w:szCs w:val="28"/>
        </w:rPr>
        <w:t xml:space="preserve"> 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5AD24B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</w:t>
      </w:r>
      <w:r w:rsidR="00D679B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</w:t>
      </w:r>
      <w:proofErr w:type="gramStart"/>
      <w:r w:rsidR="00D679B1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контроль в сфере благоустройства).</w:t>
      </w:r>
    </w:p>
    <w:p w14:paraId="208B84B0" w14:textId="01B1CE1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благоустройства территории</w:t>
      </w:r>
      <w:r w:rsidR="00D67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79B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Никулятское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64806659" w:rsidR="00D03C14" w:rsidRPr="00700821" w:rsidRDefault="00D03C14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="00D679B1">
        <w:rPr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области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2BF9530F" w:rsidR="00D03C14" w:rsidRPr="00700821" w:rsidRDefault="00D679B1" w:rsidP="00D03C14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</w:t>
      </w:r>
      <w:r w:rsidR="00D03C14" w:rsidRPr="00700821">
        <w:rPr>
          <w:color w:val="000000"/>
          <w:sz w:val="28"/>
          <w:szCs w:val="28"/>
        </w:rPr>
        <w:t xml:space="preserve"> осуществлять контрол</w:t>
      </w:r>
      <w:r>
        <w:rPr>
          <w:color w:val="000000"/>
          <w:sz w:val="28"/>
          <w:szCs w:val="28"/>
        </w:rPr>
        <w:t>ь в сфере благоустройства, являе</w:t>
      </w:r>
      <w:r w:rsidR="00D03C14" w:rsidRPr="00700821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ведущий специалист по управлению муниципальным </w:t>
      </w:r>
      <w:proofErr w:type="gramStart"/>
      <w:r>
        <w:rPr>
          <w:color w:val="000000"/>
          <w:sz w:val="28"/>
          <w:szCs w:val="28"/>
        </w:rPr>
        <w:t xml:space="preserve">имуществом </w:t>
      </w:r>
      <w:r w:rsidR="00D03C14" w:rsidRPr="00700821">
        <w:rPr>
          <w:color w:val="000000"/>
          <w:sz w:val="28"/>
          <w:szCs w:val="28"/>
        </w:rPr>
        <w:t xml:space="preserve"> (</w:t>
      </w:r>
      <w:proofErr w:type="gramEnd"/>
      <w:r w:rsidR="00D03C14" w:rsidRPr="00700821">
        <w:rPr>
          <w:color w:val="000000"/>
          <w:sz w:val="28"/>
          <w:szCs w:val="28"/>
        </w:rPr>
        <w:t>далее также – должностные лица, уполномоченные осуществлять контроль)</w:t>
      </w:r>
      <w:r w:rsidR="00D03C14" w:rsidRPr="00700821">
        <w:rPr>
          <w:i/>
          <w:iCs/>
          <w:color w:val="000000"/>
        </w:rPr>
        <w:t>.</w:t>
      </w:r>
      <w:r w:rsidR="00D03C14" w:rsidRPr="00700821"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D03C1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14:paraId="61DDD78C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14:paraId="16A307E7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A74A611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 w:rsidR="00D679B1">
        <w:rPr>
          <w:color w:val="000000"/>
          <w:sz w:val="28"/>
          <w:szCs w:val="28"/>
        </w:rPr>
        <w:t xml:space="preserve"> Кировской области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31EBBC8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 xml:space="preserve">размещения транспортных средств на газоне или иной </w:t>
      </w:r>
      <w:proofErr w:type="gramStart"/>
      <w:r w:rsidRPr="00700821">
        <w:rPr>
          <w:color w:val="000000"/>
          <w:sz w:val="28"/>
          <w:szCs w:val="28"/>
        </w:rPr>
        <w:t>озеленённой</w:t>
      </w:r>
      <w:proofErr w:type="gramEnd"/>
      <w:r w:rsidRPr="00700821">
        <w:rPr>
          <w:color w:val="000000"/>
          <w:sz w:val="28"/>
          <w:szCs w:val="28"/>
        </w:rPr>
        <w:t xml:space="preserve"> или рекреационной территории, размещение транспортных средств </w:t>
      </w:r>
      <w:r w:rsidRPr="00700821">
        <w:rPr>
          <w:color w:val="000000"/>
          <w:sz w:val="28"/>
          <w:szCs w:val="28"/>
        </w:rPr>
        <w:lastRenderedPageBreak/>
        <w:t>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368D4241" w14:textId="37223E3C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D679B1">
        <w:rPr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</w:t>
      </w:r>
      <w:proofErr w:type="gramStart"/>
      <w:r w:rsidR="00D679B1">
        <w:rPr>
          <w:color w:val="000000"/>
          <w:sz w:val="28"/>
          <w:szCs w:val="28"/>
        </w:rPr>
        <w:t>области</w:t>
      </w:r>
      <w:r w:rsidRPr="00700821">
        <w:rPr>
          <w:color w:val="000000"/>
          <w:sz w:val="28"/>
          <w:szCs w:val="28"/>
        </w:rPr>
        <w:t xml:space="preserve">  в</w:t>
      </w:r>
      <w:proofErr w:type="gramEnd"/>
      <w:r w:rsidRPr="00700821">
        <w:rPr>
          <w:color w:val="000000"/>
          <w:sz w:val="28"/>
          <w:szCs w:val="28"/>
        </w:rPr>
        <w:t xml:space="preserve"> зимний период, включая контроль проведения мероприятий по очистке от снега, наледи и сосулек кровель зданий, сооружений; </w:t>
      </w:r>
    </w:p>
    <w:p w14:paraId="64337CB2" w14:textId="02B5844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обязательные требования по уборке территории</w:t>
      </w:r>
      <w:r w:rsidR="00D612EA">
        <w:rPr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области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14:paraId="4A6AB130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lastRenderedPageBreak/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77777777"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14:paraId="2EDA91C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14:paraId="472BC0B7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элементы улично-дорожной сети (аллеи, бульвары, магистрали, переулки, площади, проезды, проспекты, проулки, разъезды, спуски, тракты, </w:t>
      </w:r>
      <w:r w:rsidRPr="00700821">
        <w:rPr>
          <w:color w:val="000000"/>
          <w:sz w:val="28"/>
          <w:szCs w:val="28"/>
        </w:rPr>
        <w:lastRenderedPageBreak/>
        <w:t>тупики, улицы, шоссе);</w:t>
      </w:r>
    </w:p>
    <w:p w14:paraId="748CF83B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14:paraId="26B0200E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77777777"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14:paraId="1904F24C" w14:textId="77777777"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5F1A026C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03DBD3DD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35B649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3F09804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б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этом главе муниципального образования Никулятское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для принятия решения о проведении контрольных мероприятий.</w:t>
      </w:r>
    </w:p>
    <w:p w14:paraId="49CFA7B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14:paraId="6E15C0C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7E7B708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</w:t>
      </w:r>
      <w:r w:rsidRPr="00D612EA">
        <w:rPr>
          <w:rFonts w:ascii="Times New Roman" w:hAnsi="Times New Roman" w:cs="Times New Roman"/>
          <w:color w:val="000000"/>
          <w:sz w:val="28"/>
          <w:szCs w:val="28"/>
        </w:rPr>
        <w:t>население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Никулятское сельское поселение Яранского района Кировской </w:t>
      </w:r>
      <w:proofErr w:type="gramStart"/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D6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6713B7A8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</w:t>
      </w:r>
      <w:r w:rsidR="00D612EA">
        <w:rPr>
          <w:color w:val="000000"/>
          <w:sz w:val="28"/>
          <w:szCs w:val="28"/>
        </w:rPr>
        <w:t xml:space="preserve">тся) главой муниципального образования Никулятское сельское поселение Яранского района Кировской </w:t>
      </w:r>
      <w:proofErr w:type="gramStart"/>
      <w:r w:rsidR="00D612EA">
        <w:rPr>
          <w:color w:val="000000"/>
          <w:sz w:val="28"/>
          <w:szCs w:val="28"/>
        </w:rPr>
        <w:t>области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</w:t>
      </w:r>
      <w:proofErr w:type="gramEnd"/>
      <w:r w:rsidRPr="00700821">
        <w:rPr>
          <w:color w:val="000000"/>
          <w:sz w:val="28"/>
          <w:szCs w:val="28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4C3B929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Личный прием граждан провод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ится главой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Никулятское сельское поселение Яранского района Кировской </w:t>
      </w:r>
      <w:proofErr w:type="gramStart"/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47124C03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ного главой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Никулятское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сельское поселение Яранского района Кировской </w:t>
      </w:r>
      <w:proofErr w:type="gramStart"/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должностным лицом, уполномоченным осуществлять контроль.</w:t>
      </w:r>
    </w:p>
    <w:p w14:paraId="18D9BFF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734BB2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0F2B97CD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66B5D6E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516A732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14:paraId="2AC77FE7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взаимодействия, в том числе проводимые в отношении иных контролируемых лиц;</w:t>
      </w:r>
    </w:p>
    <w:p w14:paraId="6E43FFC7" w14:textId="79AA32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125B3998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57DBDA2C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66626FC3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Никулятское сельское поселение Яранского района Кировской области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государственном контроле (надзоре) и муниципальном контроле в Российской Федерации».</w:t>
      </w:r>
    </w:p>
    <w:p w14:paraId="293786CE" w14:textId="11C5D4F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</w:t>
      </w:r>
      <w:r w:rsidR="00D03C14" w:rsidRPr="00700821">
        <w:rPr>
          <w:color w:val="000000"/>
          <w:sz w:val="28"/>
          <w:szCs w:val="28"/>
        </w:rPr>
        <w:lastRenderedPageBreak/>
        <w:t>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4CC0C1E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7894F9A9" w14:textId="4A4D17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55DCEE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14:paraId="7404C01B" w14:textId="0081D334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14:paraId="3BEF0475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7C9547DD"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0289283D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3E5A3589"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Никулятское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Никулятское сельское поселение Яранского района Кировской области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5B7251F8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4.4. Жалоба на решение администрации, действия (бездействие) его должностных лиц рассматрива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ется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главой муниципального образования Никулятское сельское поселение Яранского района Кировской области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EE03B2F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35C5033B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бы может быть продлен главой </w:t>
      </w:r>
      <w:r w:rsidR="00D612EA" w:rsidRPr="00D612EA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Никулятское сельское поселение Яранского района Кировской области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3962D9D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7360BBBF" w14:textId="77777777"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0F74D0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29013518" w14:textId="786C38A5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утверждаются</w:t>
      </w:r>
      <w:r w:rsidR="00D612EA">
        <w:rPr>
          <w:rFonts w:ascii="Times New Roman" w:hAnsi="Times New Roman" w:cs="Times New Roman"/>
          <w:color w:val="000000"/>
          <w:sz w:val="28"/>
          <w:szCs w:val="28"/>
        </w:rPr>
        <w:t xml:space="preserve"> Никулятской сельской Думой Яранского района Кировской области.</w:t>
      </w:r>
    </w:p>
    <w:p w14:paraId="2E5E91EB" w14:textId="77777777"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D10A0AF" w14:textId="77777777"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384FDC6B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6AC7BB27" w14:textId="77777777"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14:paraId="0B63AF8C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A5242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10C9901B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14:paraId="1FAA21D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14:paraId="5CE2151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14:paraId="6851071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3. Согласно </w:t>
      </w:r>
      <w:proofErr w:type="gram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Положению</w:t>
      </w:r>
      <w:proofErr w:type="gram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14:paraId="0789425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37C1CBCF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20B48863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48E0FCAE" w14:textId="77777777"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14:paraId="7A4A7A52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14:paraId="3A0C394C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14:paraId="01FEF42D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CEA147A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B2053A8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12361B84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40CA555E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2D39DCC1" w14:textId="77777777"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14:paraId="1FD69748" w14:textId="77777777"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14:paraId="06765D5B" w14:textId="77777777"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3026BE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4837" w14:textId="77777777" w:rsidR="003026BE" w:rsidRDefault="003026BE" w:rsidP="00D03C14">
      <w:r>
        <w:separator/>
      </w:r>
    </w:p>
  </w:endnote>
  <w:endnote w:type="continuationSeparator" w:id="0">
    <w:p w14:paraId="17136B36" w14:textId="77777777" w:rsidR="003026BE" w:rsidRDefault="003026B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9869FE" w14:textId="77777777" w:rsidR="003026BE" w:rsidRDefault="003026BE" w:rsidP="00D03C14">
      <w:r>
        <w:separator/>
      </w:r>
    </w:p>
  </w:footnote>
  <w:footnote w:type="continuationSeparator" w:id="0">
    <w:p w14:paraId="5A70A041" w14:textId="77777777" w:rsidR="003026BE" w:rsidRDefault="003026BE" w:rsidP="00D03C14">
      <w:r>
        <w:continuationSeparator/>
      </w:r>
    </w:p>
  </w:footnote>
  <w:footnote w:id="1">
    <w:p w14:paraId="3661CD2F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14:paraId="61094389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14:paraId="3B70D934" w14:textId="77777777"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14:paraId="7349721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14:paraId="63AA99CB" w14:textId="77777777"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14:paraId="22DAFEDA" w14:textId="77777777"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14:paraId="466FBF92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14:paraId="48151DBA" w14:textId="77777777" w:rsidR="00D03C14" w:rsidRDefault="00D03C14" w:rsidP="00D03C14">
      <w:pPr>
        <w:pStyle w:val="af6"/>
      </w:pPr>
    </w:p>
  </w:footnote>
  <w:footnote w:id="3">
    <w:p w14:paraId="6D2252AB" w14:textId="77777777"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14:paraId="58CA4BC0" w14:textId="77777777" w:rsidR="00D03C14" w:rsidRDefault="00D03C14" w:rsidP="00D03C14">
      <w:pPr>
        <w:pStyle w:val="af6"/>
      </w:pPr>
    </w:p>
  </w:footnote>
  <w:footnote w:id="4">
    <w:p w14:paraId="63C8F8AA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14:paraId="2FF86B86" w14:textId="77777777"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14:paraId="6841BE62" w14:textId="77777777"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14:paraId="67F3AABE" w14:textId="1B004B24"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14:paraId="09EA1A09" w14:textId="79C041A4"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14:paraId="74F58B08" w14:textId="77777777"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14:paraId="0AE3A1DA" w14:textId="77777777"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14:paraId="6496A981" w14:textId="3230CC92"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14:paraId="7F8F45DD" w14:textId="77777777"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14:paraId="36782141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14:paraId="39A078BB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5C4467A9" w14:textId="77777777"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14:paraId="62D96D59" w14:textId="4C0EC3D9" w:rsidR="008629D3" w:rsidRDefault="008629D3">
      <w:pPr>
        <w:pStyle w:val="af6"/>
      </w:pPr>
    </w:p>
  </w:footnote>
  <w:footnote w:id="10">
    <w:p w14:paraId="029240D7" w14:textId="77777777"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3026B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516BFD42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33683">
      <w:rPr>
        <w:rStyle w:val="afb"/>
        <w:noProof/>
      </w:rPr>
      <w:t>27</w:t>
    </w:r>
    <w:r>
      <w:rPr>
        <w:rStyle w:val="afb"/>
      </w:rPr>
      <w:fldChar w:fldCharType="end"/>
    </w:r>
  </w:p>
  <w:p w14:paraId="3E85C035" w14:textId="77777777" w:rsidR="00E90F25" w:rsidRDefault="003026BE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3026BE"/>
    <w:rsid w:val="0037010A"/>
    <w:rsid w:val="007100F8"/>
    <w:rsid w:val="008629D3"/>
    <w:rsid w:val="00935631"/>
    <w:rsid w:val="009C2DBC"/>
    <w:rsid w:val="009D07EB"/>
    <w:rsid w:val="009E616A"/>
    <w:rsid w:val="00A728AB"/>
    <w:rsid w:val="00B33683"/>
    <w:rsid w:val="00D03C14"/>
    <w:rsid w:val="00D612EA"/>
    <w:rsid w:val="00D679B1"/>
    <w:rsid w:val="00F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chartTrackingRefBased/>
  <w15:docId w15:val="{1550BF11-ADAD-4DCA-A54A-44A328B1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A228-C722-45EC-8747-A635A36E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6872</Words>
  <Characters>39176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2021-08-23T11:09:00Z</dcterms:created>
  <dcterms:modified xsi:type="dcterms:W3CDTF">2021-10-29T07:21:00Z</dcterms:modified>
</cp:coreProperties>
</file>