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E8CBF" w14:textId="3068A14C" w:rsidR="003E6905" w:rsidRPr="003E6905" w:rsidRDefault="003E690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787"/>
        <w:gridCol w:w="2442"/>
        <w:gridCol w:w="2197"/>
      </w:tblGrid>
      <w:tr w:rsidR="003E6905" w14:paraId="66FA7B18" w14:textId="77777777" w:rsidTr="00B65C89">
        <w:trPr>
          <w:trHeight w:val="2030"/>
          <w:jc w:val="center"/>
        </w:trPr>
        <w:tc>
          <w:tcPr>
            <w:tcW w:w="9356" w:type="dxa"/>
            <w:gridSpan w:val="4"/>
            <w:hideMark/>
          </w:tcPr>
          <w:p w14:paraId="0696CBE1" w14:textId="77777777" w:rsidR="00B65C89" w:rsidRDefault="00B65C89" w:rsidP="00B65C89">
            <w:pPr>
              <w:shd w:val="clear" w:color="auto" w:fill="FFFFFF"/>
              <w:spacing w:line="254" w:lineRule="atLeast"/>
              <w:ind w:right="-281"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АДМИНИСТРАЦИЯ  НИКУЛЯТСКОГО СЕЛЬСКОГО ПОСЕЛЕНИЯ</w:t>
            </w:r>
          </w:p>
          <w:p w14:paraId="62183647" w14:textId="77777777" w:rsidR="00B65C89" w:rsidRDefault="00B65C89" w:rsidP="00B65C89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8"/>
                <w:szCs w:val="28"/>
              </w:rPr>
              <w:t>ЯРАНСКОГО РАЙОНА КИРОВСКОЙ ОБЛАСТИ</w:t>
            </w:r>
          </w:p>
          <w:p w14:paraId="55E71CD4" w14:textId="77777777" w:rsidR="00B65C89" w:rsidRDefault="00B65C89" w:rsidP="00B65C89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  <w:p w14:paraId="1E49E575" w14:textId="77777777" w:rsidR="00B65C89" w:rsidRDefault="00B65C89" w:rsidP="00B65C89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ПОСТАНОВЛЕНИЕ</w:t>
            </w:r>
          </w:p>
          <w:p w14:paraId="13F47753" w14:textId="77777777" w:rsidR="00B65C89" w:rsidRDefault="00B65C89" w:rsidP="00B65C89">
            <w:pPr>
              <w:shd w:val="clear" w:color="auto" w:fill="FFFFFF"/>
              <w:spacing w:line="254" w:lineRule="atLeast"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  <w:tbl>
            <w:tblPr>
              <w:tblW w:w="904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22"/>
              <w:gridCol w:w="4523"/>
            </w:tblGrid>
            <w:tr w:rsidR="00B65C89" w14:paraId="0D1BB07D" w14:textId="77777777" w:rsidTr="00B65C89">
              <w:tc>
                <w:tcPr>
                  <w:tcW w:w="4785" w:type="dxa"/>
                  <w:shd w:val="clear" w:color="auto" w:fill="FFFFFF"/>
                  <w:hideMark/>
                </w:tcPr>
                <w:p w14:paraId="24925903" w14:textId="77DF4E22" w:rsidR="00B65C89" w:rsidRDefault="00B65C89" w:rsidP="00B65C89">
                  <w:pPr>
                    <w:spacing w:line="254" w:lineRule="atLeast"/>
                    <w:rPr>
                      <w:rFonts w:ascii="Times New Roman" w:hAnsi="Times New Roman"/>
                      <w:color w:val="21212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от </w:t>
                  </w:r>
                  <w:r w:rsidR="00B54DFF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14.04.2023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786" w:type="dxa"/>
                  <w:shd w:val="clear" w:color="auto" w:fill="FFFFFF"/>
                  <w:hideMark/>
                </w:tcPr>
                <w:p w14:paraId="1D6D81DD" w14:textId="49C81671" w:rsidR="00B65C89" w:rsidRDefault="00B65C89" w:rsidP="00B65C89">
                  <w:pPr>
                    <w:spacing w:line="254" w:lineRule="atLeast"/>
                    <w:rPr>
                      <w:rFonts w:ascii="Times New Roman" w:hAnsi="Times New Roman"/>
                      <w:color w:val="21212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        № </w:t>
                  </w:r>
                  <w:r w:rsidR="00B54DFF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27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</w:p>
              </w:tc>
            </w:tr>
          </w:tbl>
          <w:p w14:paraId="76F66E82" w14:textId="3C1B83A9" w:rsidR="003E6905" w:rsidRPr="003E6905" w:rsidRDefault="003E6905">
            <w:pPr>
              <w:tabs>
                <w:tab w:val="left" w:pos="21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905" w14:paraId="20D256A5" w14:textId="77777777" w:rsidTr="00B65C89">
        <w:trPr>
          <w:jc w:val="center"/>
        </w:trPr>
        <w:tc>
          <w:tcPr>
            <w:tcW w:w="19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129F3" w14:textId="7EAE1A6C" w:rsidR="003E6905" w:rsidRDefault="003E6905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2E22" w14:textId="77777777" w:rsidR="003E6905" w:rsidRDefault="003E6905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CCE8" w14:textId="77777777" w:rsidR="003E6905" w:rsidRPr="003E6905" w:rsidRDefault="003E69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B22F" w14:textId="6302D4E4" w:rsidR="003E6905" w:rsidRPr="003E6905" w:rsidRDefault="003E69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E6905" w14:paraId="3294500E" w14:textId="77777777" w:rsidTr="00B65C89">
        <w:trPr>
          <w:jc w:val="center"/>
        </w:trPr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20631" w14:textId="7A2C5955" w:rsidR="003E6905" w:rsidRPr="003E6905" w:rsidRDefault="003E6905">
            <w:pPr>
              <w:tabs>
                <w:tab w:val="left" w:pos="276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</w:t>
            </w:r>
            <w:r w:rsidR="00B65C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улят</w:t>
            </w:r>
            <w:r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proofErr w:type="spellEnd"/>
            <w:r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D916E44" w14:textId="77777777" w:rsidR="0076619D" w:rsidRPr="0076619D" w:rsidRDefault="0076619D" w:rsidP="0076619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76619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14:paraId="3F3FEE43" w14:textId="6B83A15D" w:rsidR="0076619D" w:rsidRPr="0076619D" w:rsidRDefault="0076619D" w:rsidP="0076619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bookmarkStart w:id="0" w:name="_Hlk128400409"/>
      <w:r w:rsidRPr="007661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bookmarkEnd w:id="0"/>
      <w:proofErr w:type="spellStart"/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Ник</w:t>
      </w:r>
      <w:r w:rsidR="00B65C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улят</w:t>
      </w:r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ского</w:t>
      </w:r>
      <w:proofErr w:type="spellEnd"/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  <w:proofErr w:type="spellStart"/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Яранского</w:t>
      </w:r>
      <w:proofErr w:type="spellEnd"/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района Кировской области</w:t>
      </w:r>
    </w:p>
    <w:p w14:paraId="12A445BA" w14:textId="77777777" w:rsidR="0076619D" w:rsidRPr="0076619D" w:rsidRDefault="0076619D" w:rsidP="0076619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766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59C1C1A" w14:textId="4A5E5715" w:rsidR="003E6905" w:rsidRPr="003E6905" w:rsidRDefault="003E6905" w:rsidP="003E690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В соответствии со статьей 13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пунктом 5 части 1 статьи 15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Ник</w:t>
      </w:r>
      <w:r w:rsidR="00B65C89">
        <w:rPr>
          <w:sz w:val="28"/>
          <w:szCs w:val="28"/>
        </w:rPr>
        <w:t>улят</w:t>
      </w:r>
      <w:r>
        <w:rPr>
          <w:sz w:val="28"/>
          <w:szCs w:val="28"/>
        </w:rPr>
        <w:t>ского</w:t>
      </w:r>
      <w:proofErr w:type="spellEnd"/>
      <w:r w:rsidRPr="003E6905">
        <w:rPr>
          <w:sz w:val="28"/>
          <w:szCs w:val="28"/>
        </w:rPr>
        <w:t xml:space="preserve"> сельского поселения ПОСТАНОВЛЯЕТ:</w:t>
      </w:r>
    </w:p>
    <w:p w14:paraId="20EEBD95" w14:textId="114A2474" w:rsidR="003E6905" w:rsidRPr="003E6905" w:rsidRDefault="003E6905" w:rsidP="003E690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1.Утвердить Правила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Ник</w:t>
      </w:r>
      <w:r w:rsidR="00B65C89">
        <w:rPr>
          <w:sz w:val="28"/>
          <w:szCs w:val="28"/>
        </w:rPr>
        <w:t>улят</w:t>
      </w:r>
      <w:r>
        <w:rPr>
          <w:sz w:val="28"/>
          <w:szCs w:val="28"/>
        </w:rPr>
        <w:t>ского</w:t>
      </w:r>
      <w:proofErr w:type="spellEnd"/>
      <w:r w:rsidRPr="003E6905">
        <w:rPr>
          <w:sz w:val="28"/>
          <w:szCs w:val="28"/>
        </w:rPr>
        <w:t xml:space="preserve"> сельского поселения. Прилагаются.</w:t>
      </w:r>
    </w:p>
    <w:p w14:paraId="32A3D06F" w14:textId="73D6E6DB" w:rsidR="00D71A2A" w:rsidRDefault="003E6905" w:rsidP="00D71A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2.Определить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proofErr w:type="spellStart"/>
      <w:r w:rsidR="00D71A2A">
        <w:rPr>
          <w:sz w:val="28"/>
          <w:szCs w:val="28"/>
        </w:rPr>
        <w:t>Ник</w:t>
      </w:r>
      <w:r w:rsidR="00B65C89">
        <w:rPr>
          <w:sz w:val="28"/>
          <w:szCs w:val="28"/>
        </w:rPr>
        <w:t>улят</w:t>
      </w:r>
      <w:r w:rsidR="00D71A2A">
        <w:rPr>
          <w:sz w:val="28"/>
          <w:szCs w:val="28"/>
        </w:rPr>
        <w:t>ского</w:t>
      </w:r>
      <w:proofErr w:type="spellEnd"/>
      <w:r w:rsidRPr="003E6905">
        <w:rPr>
          <w:sz w:val="28"/>
          <w:szCs w:val="28"/>
        </w:rPr>
        <w:t xml:space="preserve"> сельского поселения, в соответствии с показателями </w:t>
      </w:r>
      <w:hyperlink r:id="rId5" w:history="1">
        <w:r w:rsidRPr="003E6905">
          <w:rPr>
            <w:rStyle w:val="a5"/>
            <w:color w:val="auto"/>
            <w:sz w:val="28"/>
            <w:szCs w:val="28"/>
            <w:u w:val="none"/>
          </w:rPr>
          <w:t>согласно приложению</w:t>
        </w:r>
      </w:hyperlink>
      <w:r w:rsidRPr="003E6905">
        <w:rPr>
          <w:sz w:val="28"/>
          <w:szCs w:val="28"/>
        </w:rPr>
        <w:t>.</w:t>
      </w:r>
    </w:p>
    <w:p w14:paraId="30933725" w14:textId="31D5E2F4" w:rsidR="00D71A2A" w:rsidRDefault="00D71A2A" w:rsidP="00D71A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(обнародовать) настоящее постановление в информационном бюллетене</w:t>
      </w:r>
      <w:r w:rsidRPr="00385F18">
        <w:t xml:space="preserve"> </w:t>
      </w:r>
      <w:r w:rsidRPr="00385F18">
        <w:rPr>
          <w:sz w:val="28"/>
          <w:szCs w:val="28"/>
        </w:rPr>
        <w:t xml:space="preserve">органов местного самоуправления </w:t>
      </w:r>
      <w:proofErr w:type="spellStart"/>
      <w:r w:rsidRPr="00385F18">
        <w:rPr>
          <w:sz w:val="28"/>
          <w:szCs w:val="28"/>
        </w:rPr>
        <w:t>Ник</w:t>
      </w:r>
      <w:r w:rsidR="00B65C89">
        <w:rPr>
          <w:sz w:val="28"/>
          <w:szCs w:val="28"/>
        </w:rPr>
        <w:t>улят</w:t>
      </w:r>
      <w:r w:rsidRPr="00385F18">
        <w:rPr>
          <w:sz w:val="28"/>
          <w:szCs w:val="28"/>
        </w:rPr>
        <w:t>ского</w:t>
      </w:r>
      <w:proofErr w:type="spellEnd"/>
      <w:r w:rsidRPr="00385F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Pr="003A65BD">
        <w:t xml:space="preserve"> </w:t>
      </w:r>
      <w:proofErr w:type="spellStart"/>
      <w:r>
        <w:rPr>
          <w:sz w:val="28"/>
          <w:szCs w:val="28"/>
        </w:rPr>
        <w:t>Ник</w:t>
      </w:r>
      <w:r w:rsidR="00B65C89">
        <w:rPr>
          <w:sz w:val="28"/>
          <w:szCs w:val="28"/>
        </w:rPr>
        <w:t>улят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AB741DD" w14:textId="4F8AC80D" w:rsidR="00D71A2A" w:rsidRPr="00D71A2A" w:rsidRDefault="00D71A2A" w:rsidP="00D71A2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0BF05DCD" w14:textId="77777777" w:rsidR="00D71A2A" w:rsidRPr="00D71A2A" w:rsidRDefault="00D71A2A" w:rsidP="00D71A2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2AAF" w14:textId="78B50743" w:rsidR="00D71A2A" w:rsidRPr="00D71A2A" w:rsidRDefault="00D71A2A" w:rsidP="00D71A2A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</w:p>
    <w:p w14:paraId="21B151AB" w14:textId="3B09B96E" w:rsidR="00D71A2A" w:rsidRPr="00D71A2A" w:rsidRDefault="00D71A2A" w:rsidP="00D71A2A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Pr="00D71A2A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1A2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1A2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A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65C89">
        <w:rPr>
          <w:rFonts w:ascii="Times New Roman" w:hAnsi="Times New Roman" w:cs="Times New Roman"/>
          <w:sz w:val="28"/>
          <w:szCs w:val="28"/>
        </w:rPr>
        <w:t>Л.Н.Царегородцева</w:t>
      </w:r>
      <w:proofErr w:type="spellEnd"/>
    </w:p>
    <w:tbl>
      <w:tblPr>
        <w:tblW w:w="4394" w:type="dxa"/>
        <w:tblCellSpacing w:w="0" w:type="dxa"/>
        <w:tblInd w:w="5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3E6905" w:rsidRPr="003E6905" w14:paraId="795ECBC2" w14:textId="77777777" w:rsidTr="00B65C89">
        <w:trPr>
          <w:tblCellSpacing w:w="0" w:type="dxa"/>
        </w:trPr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9199" w14:textId="163D1F3B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УТВЕРЖДЕНЫ</w:t>
            </w:r>
          </w:p>
          <w:p w14:paraId="3BD87073" w14:textId="42367D35" w:rsidR="003E6905" w:rsidRPr="003E6905" w:rsidRDefault="003E6905" w:rsidP="00B65C89">
            <w:pPr>
              <w:spacing w:before="105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B65C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D71A2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B65C89">
              <w:rPr>
                <w:rFonts w:ascii="Times New Roman" w:hAnsi="Times New Roman" w:cs="Times New Roman"/>
                <w:sz w:val="28"/>
                <w:szCs w:val="28"/>
              </w:rPr>
              <w:t>улят</w:t>
            </w:r>
            <w:r w:rsidR="00D71A2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B54DFF">
              <w:rPr>
                <w:rFonts w:ascii="Times New Roman" w:hAnsi="Times New Roman" w:cs="Times New Roman"/>
                <w:sz w:val="28"/>
                <w:szCs w:val="28"/>
              </w:rPr>
              <w:t>14.04.2023 № 27</w:t>
            </w:r>
          </w:p>
        </w:tc>
      </w:tr>
    </w:tbl>
    <w:p w14:paraId="44BBC577" w14:textId="77777777" w:rsidR="003E6905" w:rsidRPr="003E6905" w:rsidRDefault="003E6905" w:rsidP="003E6905">
      <w:pPr>
        <w:shd w:val="clear" w:color="auto" w:fill="FFFFFF"/>
        <w:spacing w:before="105"/>
        <w:jc w:val="right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729346F6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3E690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17163851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14:paraId="4A7B3319" w14:textId="092B0864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D71A2A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B65C89">
        <w:rPr>
          <w:rFonts w:ascii="Times New Roman" w:hAnsi="Times New Roman" w:cs="Times New Roman"/>
          <w:b/>
          <w:bCs/>
          <w:sz w:val="28"/>
          <w:szCs w:val="28"/>
        </w:rPr>
        <w:t>улят</w:t>
      </w:r>
      <w:r w:rsidR="00D71A2A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3641E58" w14:textId="77777777" w:rsidR="003E6905" w:rsidRPr="003E6905" w:rsidRDefault="003E6905" w:rsidP="003E6905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62ED151F" w14:textId="37AFED03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1.Настоящие Правила определяют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proofErr w:type="spellStart"/>
      <w:r w:rsid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="00D71A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  (далее транспортные средства, автомобильные дороги).</w:t>
      </w:r>
    </w:p>
    <w:p w14:paraId="3C50298B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2.Вред, причиняемый автомобильным дорогам транспортными средствами (далее вред), подлежит возмещению владельцами транспортных средств.</w:t>
      </w:r>
    </w:p>
    <w:p w14:paraId="6A5686D2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14:paraId="147F1184" w14:textId="271A0B3A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3.Осуществление расчета, начисления и взимания платы в счет возмещения вреда производится администрацией </w:t>
      </w:r>
      <w:proofErr w:type="spellStart"/>
      <w:r w:rsid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="00D71A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  в отношении участков автомобильных дорог общего пользования местного значения, по которым проходит маршрут движения транспортного средства.</w:t>
      </w:r>
    </w:p>
    <w:p w14:paraId="69CFA5A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Расчет платы в счет возмещения вреда осуществляется на безвозмездной основе.</w:t>
      </w:r>
    </w:p>
    <w:p w14:paraId="5E12FA6B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4.Размер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14:paraId="191DB34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5.Размер платы в счет возмещения вреда определяется в зависимости от:</w:t>
      </w:r>
    </w:p>
    <w:p w14:paraId="2373DE40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lastRenderedPageBreak/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14:paraId="2F21F1D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предельно допустимой массы транспортного средства;</w:t>
      </w:r>
    </w:p>
    <w:p w14:paraId="4447FF4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предельно допустимых осевых нагрузок транспортного средства;</w:t>
      </w:r>
    </w:p>
    <w:p w14:paraId="191A1547" w14:textId="77777777" w:rsidR="003E6905" w:rsidRPr="003E6905" w:rsidRDefault="003E6905" w:rsidP="003E6905">
      <w:pPr>
        <w:shd w:val="clear" w:color="auto" w:fill="FFFFFF"/>
        <w:spacing w:before="105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          б) размера вреда, определенного для автомобильных дорог общего пользования местного значения;</w:t>
      </w:r>
    </w:p>
    <w:p w14:paraId="18AEF24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в) протяженности участков автомобильных дорог общего пользования местного значения, по которым проходит маршрут транспортного средства;</w:t>
      </w:r>
    </w:p>
    <w:p w14:paraId="0A914B1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г) базового компенсационного индекса текущего года.</w:t>
      </w:r>
    </w:p>
    <w:p w14:paraId="02FA54C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6.Размер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формуле:</w:t>
      </w:r>
    </w:p>
    <w:p w14:paraId="5893ECB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+ (Рпом1 + Рпом2 +...+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)) x S x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>, где:</w:t>
      </w:r>
    </w:p>
    <w:p w14:paraId="3DED7483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14:paraId="599BA75F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общего пользования местного значения (рублей на 100 километров);</w:t>
      </w:r>
    </w:p>
    <w:p w14:paraId="4370C2E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Рпом1, Рпом2, ...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 100 километров);</w:t>
      </w:r>
    </w:p>
    <w:p w14:paraId="57F2C8A6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14:paraId="18087E3F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S - протяженность участка автомобильной дороги (сотни километров);</w:t>
      </w:r>
    </w:p>
    <w:p w14:paraId="18DFE69E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14:paraId="609F09E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Iтг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>, где:</w:t>
      </w:r>
    </w:p>
    <w:p w14:paraId="504C8A5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года, принимается равным 1);</w:t>
      </w:r>
    </w:p>
    <w:p w14:paraId="2364CD48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Iтг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</w:t>
      </w:r>
      <w:r w:rsidRPr="003E6905">
        <w:rPr>
          <w:rFonts w:ascii="Times New Roman" w:hAnsi="Times New Roman" w:cs="Times New Roman"/>
          <w:sz w:val="28"/>
          <w:szCs w:val="28"/>
        </w:rPr>
        <w:lastRenderedPageBreak/>
        <w:t>формировании бюджета на соответствующий финансовый год и плановый период.</w:t>
      </w:r>
    </w:p>
    <w:p w14:paraId="6D23FF2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7.Общий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14:paraId="190127C8" w14:textId="072C3A0A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8.Средства, полученные в качестве платежей в счет возмещения вреда автомобильным дорогам </w:t>
      </w:r>
      <w:proofErr w:type="spellStart"/>
      <w:r w:rsid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="00D71A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  подлежат зачислению в бюджет </w:t>
      </w:r>
      <w:proofErr w:type="spellStart"/>
      <w:r w:rsid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="00D71A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C5FF39A" w14:textId="698DD818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9.Решение о возврате излишне уплаченных (взысканных) платежей в счет возмещения вреда, перечисленных в бюджет </w:t>
      </w:r>
      <w:proofErr w:type="spellStart"/>
      <w:r w:rsidR="00D71A2A">
        <w:rPr>
          <w:rFonts w:ascii="Times New Roman" w:hAnsi="Times New Roman" w:cs="Times New Roman"/>
          <w:sz w:val="28"/>
          <w:szCs w:val="28"/>
        </w:rPr>
        <w:t>Ник</w:t>
      </w:r>
      <w:r w:rsidR="00B65C89">
        <w:rPr>
          <w:rFonts w:ascii="Times New Roman" w:hAnsi="Times New Roman" w:cs="Times New Roman"/>
          <w:sz w:val="28"/>
          <w:szCs w:val="28"/>
        </w:rPr>
        <w:t>улят</w:t>
      </w:r>
      <w:r w:rsidR="00D71A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в 7-дневный срок со дня получения заявления плательщика.</w:t>
      </w:r>
    </w:p>
    <w:p w14:paraId="681153E1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14:paraId="7BCBBF05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16214FAD" w14:textId="20844C7B" w:rsidR="003E6905" w:rsidRPr="003E6905" w:rsidRDefault="003E6905" w:rsidP="003E6905">
      <w:pPr>
        <w:shd w:val="clear" w:color="auto" w:fill="FFFFFF"/>
        <w:spacing w:before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                                                     </w:t>
      </w:r>
    </w:p>
    <w:p w14:paraId="7E997546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DA7876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528619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461B03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4457053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511AC4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01C564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E18839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9AE055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79A12E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6FA67EE" w14:textId="389CBFDF" w:rsidR="003E6905" w:rsidRPr="003E6905" w:rsidRDefault="003E6905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1F71E543" w14:textId="77777777" w:rsidR="003E6905" w:rsidRPr="003E6905" w:rsidRDefault="003E6905" w:rsidP="003E6905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25259BDC" w14:textId="77777777" w:rsidR="00B65C89" w:rsidRDefault="00B65C89">
      <w:bookmarkStart w:id="2" w:name="Par88"/>
      <w:bookmarkEnd w:id="2"/>
      <w:r>
        <w:br w:type="page"/>
      </w:r>
    </w:p>
    <w:tbl>
      <w:tblPr>
        <w:tblW w:w="0" w:type="auto"/>
        <w:tblCellSpacing w:w="0" w:type="dxa"/>
        <w:tblInd w:w="5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</w:tblGrid>
      <w:tr w:rsidR="003E6905" w:rsidRPr="003E6905" w14:paraId="14E01503" w14:textId="77777777" w:rsidTr="00B65C89">
        <w:trPr>
          <w:tblCellSpacing w:w="0" w:type="dxa"/>
        </w:trPr>
        <w:tc>
          <w:tcPr>
            <w:tcW w:w="4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FFF9" w14:textId="01A80071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                 Приложение </w:t>
            </w:r>
          </w:p>
          <w:p w14:paraId="768CDBFB" w14:textId="46061305" w:rsidR="003E6905" w:rsidRPr="003E6905" w:rsidRDefault="003E6905" w:rsidP="00B65C89">
            <w:pPr>
              <w:spacing w:before="105"/>
              <w:ind w:left="-72"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D71A2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B65C89">
              <w:rPr>
                <w:rFonts w:ascii="Times New Roman" w:hAnsi="Times New Roman" w:cs="Times New Roman"/>
                <w:sz w:val="28"/>
                <w:szCs w:val="28"/>
              </w:rPr>
              <w:t>улят</w:t>
            </w:r>
            <w:r w:rsidR="00D71A2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bookmarkStart w:id="3" w:name="_GoBack"/>
            <w:bookmarkEnd w:id="3"/>
            <w:r w:rsidR="00F6334C"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334C">
              <w:rPr>
                <w:rFonts w:ascii="Times New Roman" w:hAnsi="Times New Roman" w:cs="Times New Roman"/>
                <w:sz w:val="28"/>
                <w:szCs w:val="28"/>
              </w:rPr>
              <w:t>14.04.2023 № 27</w:t>
            </w:r>
          </w:p>
        </w:tc>
      </w:tr>
    </w:tbl>
    <w:p w14:paraId="61AB4F96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14:paraId="04191C51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14:paraId="4653E0FF" w14:textId="04696608" w:rsidR="003E6905" w:rsidRPr="003E6905" w:rsidRDefault="003E6905" w:rsidP="00D71A2A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Таблица 1. Размер вреда при превышении значения предельно допустимой массы транспортного средства</w:t>
      </w:r>
    </w:p>
    <w:tbl>
      <w:tblPr>
        <w:tblW w:w="0" w:type="auto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216"/>
      </w:tblGrid>
      <w:tr w:rsidR="003E6905" w:rsidRPr="003E6905" w14:paraId="4A895880" w14:textId="77777777" w:rsidTr="003E6905">
        <w:trPr>
          <w:tblCellSpacing w:w="0" w:type="dxa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B810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20D69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 100 км)</w:t>
            </w:r>
          </w:p>
        </w:tc>
      </w:tr>
      <w:tr w:rsidR="003E6905" w:rsidRPr="003E6905" w14:paraId="1D207047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4FAC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624D9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E6905" w:rsidRPr="003E6905" w14:paraId="6B9FD278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0064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 до 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E556B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3E6905" w:rsidRPr="003E6905" w14:paraId="0A033F73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A40C6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7 до 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3DD72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E6905" w:rsidRPr="003E6905" w14:paraId="32613056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5DADF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10 до 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A6A6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3E6905" w:rsidRPr="003E6905" w14:paraId="7165656B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82630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15 до 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DDC32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3E6905" w:rsidRPr="003E6905" w14:paraId="020F120F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0B25B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20 до 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729E6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3E6905" w:rsidRPr="003E6905" w14:paraId="18158B8B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47117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25 до 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34D33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3E6905" w:rsidRPr="003E6905" w14:paraId="5AC5C08F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717F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30 до 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FD2C5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3E6905" w:rsidRPr="003E6905" w14:paraId="04379971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9047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35 до 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E27C0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3E6905" w:rsidRPr="003E6905" w14:paraId="1C71A389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6295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40 до 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DC028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3E6905" w:rsidRPr="003E6905" w14:paraId="19271BAC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B92E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45 до 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FF42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  <w:tr w:rsidR="003E6905" w:rsidRPr="003E6905" w14:paraId="3F26F08A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D473E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2BA03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 </w:t>
            </w:r>
            <w:hyperlink r:id="rId6" w:anchor="Par124" w:history="1">
              <w:r w:rsidRPr="003E690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</w:tbl>
    <w:p w14:paraId="53E6A3E4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4"/>
      <w:bookmarkEnd w:id="4"/>
      <w:r w:rsidRPr="003E6905">
        <w:rPr>
          <w:rFonts w:ascii="Times New Roman" w:hAnsi="Times New Roman" w:cs="Times New Roman"/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14:paraId="39DDF9AE" w14:textId="05295362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lastRenderedPageBreak/>
        <w:t> Таблица 2. 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3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155"/>
        <w:gridCol w:w="3916"/>
      </w:tblGrid>
      <w:tr w:rsidR="003E6905" w:rsidRPr="003E6905" w14:paraId="7979262A" w14:textId="77777777" w:rsidTr="003E6905">
        <w:trPr>
          <w:tblCellSpacing w:w="0" w:type="dxa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06520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4391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F1798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3E6905" w:rsidRPr="003E6905" w14:paraId="698FA769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A1484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1DE2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43B9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3E6905" w:rsidRPr="003E6905" w14:paraId="1C19D951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65BE2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FC6CB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A1D7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3E6905" w:rsidRPr="003E6905" w14:paraId="29CCC579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2C5E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F01B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1984E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</w:tc>
      </w:tr>
      <w:tr w:rsidR="003E6905" w:rsidRPr="003E6905" w14:paraId="5A63F4AC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0845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6E66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4F766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</w:tc>
      </w:tr>
      <w:tr w:rsidR="003E6905" w:rsidRPr="003E6905" w14:paraId="204359D5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E448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8957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9B6B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</w:tc>
      </w:tr>
      <w:tr w:rsidR="003E6905" w:rsidRPr="003E6905" w14:paraId="58006BFC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A019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AF29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864D0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27330</w:t>
            </w:r>
          </w:p>
        </w:tc>
      </w:tr>
      <w:tr w:rsidR="003E6905" w:rsidRPr="003E6905" w14:paraId="09DA24E7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B760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B5EA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 </w:t>
            </w:r>
            <w:hyperlink r:id="rId7" w:anchor="Par153" w:history="1">
              <w:r w:rsidRPr="003E690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</w:tbl>
    <w:p w14:paraId="10C6604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3"/>
      <w:bookmarkEnd w:id="5"/>
      <w:r w:rsidRPr="003E6905">
        <w:rPr>
          <w:rFonts w:ascii="Times New Roman" w:hAnsi="Times New Roman" w:cs="Times New Roman"/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14:paraId="25692E29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4F1C999C" w14:textId="77777777" w:rsidR="003E6905" w:rsidRPr="003E6905" w:rsidRDefault="003E6905" w:rsidP="003E6905">
      <w:pPr>
        <w:shd w:val="clear" w:color="auto" w:fill="FFFFFF"/>
        <w:spacing w:before="10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9DA706C" w14:textId="6CB3174A" w:rsidR="00174F10" w:rsidRPr="003E6905" w:rsidRDefault="00174F10" w:rsidP="0076619D">
      <w:pPr>
        <w:rPr>
          <w:rFonts w:ascii="Times New Roman" w:hAnsi="Times New Roman" w:cs="Times New Roman"/>
          <w:sz w:val="28"/>
          <w:szCs w:val="28"/>
        </w:rPr>
      </w:pPr>
    </w:p>
    <w:sectPr w:rsidR="00174F10" w:rsidRPr="003E6905" w:rsidSect="00B54D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3281F"/>
    <w:multiLevelType w:val="hybridMultilevel"/>
    <w:tmpl w:val="C540C6D0"/>
    <w:lvl w:ilvl="0" w:tplc="2578CB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10"/>
    <w:rsid w:val="00174F10"/>
    <w:rsid w:val="003E6905"/>
    <w:rsid w:val="0076619D"/>
    <w:rsid w:val="00B54DFF"/>
    <w:rsid w:val="00B65C89"/>
    <w:rsid w:val="00D71A2A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FB5"/>
  <w15:chartTrackingRefBased/>
  <w15:docId w15:val="{52DCBEF5-989A-434F-8BAD-4DD1EEC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"/>
    <w:basedOn w:val="a"/>
    <w:link w:val="a4"/>
    <w:uiPriority w:val="99"/>
    <w:unhideWhenUsed/>
    <w:qFormat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619D"/>
    <w:rPr>
      <w:color w:val="0000FF"/>
      <w:u w:val="single"/>
    </w:r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D7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%D0%93%D0%9E%D0%9B%D0%9E%D0%92%D0%98%D0%9D%D0%90\%D0%9F%D0%BE%D1%81%D1%82%D0%B0%D0%BD%D0%BE%D0%B2%D0%BB%D0%B5%D0%BD%D0%B8%D1%8F\%D0%9F%D0%BE%D1%81%D1%82%D0%B0%D0%BD%D0%BE%D0%B2%D0%BB%D0%B5%D0%BD%D0%B8%D1%8F%202017%20%D0%B3%D0%BE%D0%B4\%D0%B4%D0%B5%D0%BA%D0%B0%D0%B1%D1%80%D1%8C\%D0%9F%D0%BE%D1%81%D1%82%D0%B0%D0%B0%D0%BD%D0%BE%D0%B2%D0%BB%D0%B5%D0%BD%D0%B8%D0%B5%20%D0%BE%D1%82%2015.12.2017%20%E2%84%96%201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%D0%93%D0%9E%D0%9B%D0%9E%D0%92%D0%98%D0%9D%D0%90\%D0%9F%D0%BE%D1%81%D1%82%D0%B0%D0%BD%D0%BE%D0%B2%D0%BB%D0%B5%D0%BD%D0%B8%D1%8F\%D0%9F%D0%BE%D1%81%D1%82%D0%B0%D0%BD%D0%BE%D0%B2%D0%BB%D0%B5%D0%BD%D0%B8%D1%8F%202017%20%D0%B3%D0%BE%D0%B4\%D0%B4%D0%B5%D0%BA%D0%B0%D0%B1%D1%80%D1%8C\%D0%9F%D0%BE%D1%81%D1%82%D0%B0%D0%B0%D0%BD%D0%BE%D0%B2%D0%BB%D0%B5%D0%BD%D0%B8%D0%B5%20%D0%BE%D1%82%2015.12.2017%20%E2%84%96%20117.docx" TargetMode="External"/><Relationship Id="rId5" Type="http://schemas.openxmlformats.org/officeDocument/2006/relationships/hyperlink" Target="http://xn--43-dlcmpgf3a0adk.xn--p1ai/city/koliyn-pos/dokuments/sadm/%D0%BE%D0%B1%20%D0%BE%D0%BF%D1%80.%D0%B2%D1%80%D0%B5%D0%B4%D0%B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8</cp:revision>
  <dcterms:created xsi:type="dcterms:W3CDTF">2023-03-06T04:59:00Z</dcterms:created>
  <dcterms:modified xsi:type="dcterms:W3CDTF">2023-04-13T07:39:00Z</dcterms:modified>
</cp:coreProperties>
</file>